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6F3DC" w14:textId="4BBCC394" w:rsidR="00A84002" w:rsidRDefault="00A84002" w:rsidP="00E47FAE">
      <w:pPr>
        <w:snapToGrid w:val="0"/>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DF2F84">
        <w:rPr>
          <w:rFonts w:ascii="標楷體" w:eastAsia="標楷體" w:hAnsi="標楷體" w:hint="eastAsia"/>
          <w:b/>
          <w:bCs/>
          <w:color w:val="000000" w:themeColor="text1"/>
          <w:sz w:val="32"/>
          <w:szCs w:val="32"/>
        </w:rPr>
        <w:t>關廟</w:t>
      </w:r>
      <w:r w:rsidRPr="00DB5695">
        <w:rPr>
          <w:rFonts w:ascii="標楷體" w:eastAsia="標楷體" w:hAnsi="標楷體"/>
          <w:b/>
          <w:bCs/>
          <w:color w:val="000000" w:themeColor="text1"/>
          <w:sz w:val="32"/>
          <w:szCs w:val="32"/>
        </w:rPr>
        <w:t>區</w:t>
      </w:r>
      <w:r w:rsidR="00DF2F84">
        <w:rPr>
          <w:rFonts w:ascii="標楷體" w:eastAsia="標楷體" w:hAnsi="標楷體" w:hint="eastAsia"/>
          <w:b/>
          <w:bCs/>
          <w:color w:val="000000" w:themeColor="text1"/>
          <w:sz w:val="32"/>
          <w:szCs w:val="32"/>
        </w:rPr>
        <w:t>保東</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14:paraId="3EF60248" w14:textId="77777777"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14:paraId="7EC2694E" w14:textId="78660857"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r w:rsidR="00A84002" w:rsidRPr="00A84002">
        <w:rPr>
          <w:rFonts w:ascii="Times New Roman" w:eastAsia="標楷體" w:hAnsi="Times New Roman" w:cs="Times New Roman"/>
          <w:sz w:val="28"/>
          <w:szCs w:val="20"/>
          <w:u w:val="single"/>
        </w:rPr>
        <w:t>臺南市</w:t>
      </w:r>
      <w:r w:rsidR="00347289">
        <w:rPr>
          <w:rFonts w:ascii="Times New Roman" w:eastAsia="標楷體" w:hAnsi="Times New Roman" w:cs="Times New Roman" w:hint="eastAsia"/>
          <w:sz w:val="28"/>
          <w:szCs w:val="20"/>
          <w:u w:val="single"/>
        </w:rPr>
        <w:t>關廟</w:t>
      </w:r>
      <w:r w:rsidR="00A84002" w:rsidRPr="00A84002">
        <w:rPr>
          <w:rFonts w:ascii="Times New Roman" w:eastAsia="標楷體" w:hAnsi="Times New Roman" w:cs="Times New Roman"/>
          <w:sz w:val="28"/>
          <w:szCs w:val="20"/>
          <w:u w:val="single"/>
        </w:rPr>
        <w:t>區</w:t>
      </w:r>
      <w:r w:rsidR="00347289">
        <w:rPr>
          <w:rFonts w:ascii="Times New Roman" w:eastAsia="標楷體" w:hAnsi="Times New Roman" w:cs="Times New Roman" w:hint="eastAsia"/>
          <w:sz w:val="28"/>
          <w:szCs w:val="20"/>
          <w:u w:val="single"/>
        </w:rPr>
        <w:t>保東</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14:paraId="034EDDC9" w14:textId="75B996B5"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864B0D" w:rsidRPr="00864B0D">
        <w:rPr>
          <w:rFonts w:ascii="標楷體" w:eastAsia="標楷體" w:hAnsi="標楷體" w:cs="Times New Roman"/>
          <w:sz w:val="28"/>
          <w:szCs w:val="28"/>
        </w:rPr>
        <w:t>臺南市</w:t>
      </w:r>
      <w:r w:rsidR="00DF2F84">
        <w:rPr>
          <w:rFonts w:ascii="標楷體" w:eastAsia="標楷體" w:hAnsi="標楷體" w:cs="Times New Roman" w:hint="eastAsia"/>
          <w:sz w:val="28"/>
          <w:szCs w:val="28"/>
        </w:rPr>
        <w:t>關廟</w:t>
      </w:r>
      <w:r w:rsidR="00864B0D" w:rsidRPr="00864B0D">
        <w:rPr>
          <w:rFonts w:ascii="標楷體" w:eastAsia="標楷體" w:hAnsi="標楷體" w:cs="Times New Roman"/>
          <w:sz w:val="28"/>
          <w:szCs w:val="28"/>
        </w:rPr>
        <w:t>區</w:t>
      </w:r>
      <w:r w:rsidR="00DF2F84">
        <w:rPr>
          <w:rFonts w:ascii="標楷體" w:eastAsia="標楷體" w:hAnsi="標楷體" w:cs="Times New Roman" w:hint="eastAsia"/>
          <w:sz w:val="28"/>
          <w:szCs w:val="28"/>
        </w:rPr>
        <w:t>保東</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14:paraId="039F12A8"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089B7813"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4F5A2E7C"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51B62177" w14:textId="77777777"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14:paraId="532EC40C" w14:textId="4360EADE"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14:paraId="4423D6D4" w14:textId="08EE91ED" w:rsidR="00DE5692" w:rsidRPr="00B34BC9"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p>
    <w:p w14:paraId="2DF54E05" w14:textId="17B3B7D4" w:rsidR="00982D86" w:rsidRPr="003540AD" w:rsidRDefault="00347289" w:rsidP="003540AD">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Pr>
          <w:rFonts w:eastAsia="標楷體" w:hAnsi="標楷體" w:hint="eastAsia"/>
          <w:color w:val="000000" w:themeColor="text1"/>
          <w:sz w:val="28"/>
          <w:szCs w:val="28"/>
        </w:rPr>
        <w:sym w:font="Wingdings" w:char="F06E"/>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綜合型太陽光電：同時包含屋頂型及地面型</w:t>
      </w:r>
      <w:r w:rsidR="00DE5692" w:rsidRPr="00B34BC9">
        <w:rPr>
          <w:rFonts w:eastAsia="標楷體" w:hAnsi="標楷體" w:hint="eastAsia"/>
          <w:color w:val="FF0000"/>
          <w:sz w:val="28"/>
          <w:szCs w:val="28"/>
        </w:rPr>
        <w:t>（</w:t>
      </w:r>
      <w:r w:rsidRPr="00B34BC9">
        <w:rPr>
          <w:rFonts w:eastAsia="標楷體" w:hAnsi="標楷體" w:hint="eastAsia"/>
          <w:color w:val="FF0000"/>
          <w:sz w:val="28"/>
          <w:szCs w:val="28"/>
        </w:rPr>
        <w:t>本校</w:t>
      </w:r>
      <w:r>
        <w:rPr>
          <w:rFonts w:eastAsia="標楷體" w:hAnsi="標楷體" w:hint="eastAsia"/>
          <w:color w:val="FF0000"/>
          <w:sz w:val="28"/>
          <w:szCs w:val="28"/>
        </w:rPr>
        <w:t>南棟教室</w:t>
      </w:r>
      <w:r w:rsidRPr="00B34BC9">
        <w:rPr>
          <w:rFonts w:eastAsia="標楷體" w:hAnsi="標楷體" w:hint="eastAsia"/>
          <w:color w:val="FF0000"/>
          <w:sz w:val="28"/>
          <w:szCs w:val="28"/>
        </w:rPr>
        <w:t>屋頂基地面積</w:t>
      </w:r>
      <w:r>
        <w:rPr>
          <w:rFonts w:eastAsia="標楷體" w:hAnsi="標楷體"/>
          <w:color w:val="FF0000"/>
          <w:sz w:val="28"/>
          <w:szCs w:val="28"/>
        </w:rPr>
        <w:t>491</w:t>
      </w:r>
      <w:r w:rsidRPr="00B34BC9">
        <w:rPr>
          <w:rFonts w:eastAsia="標楷體" w:hAnsi="標楷體"/>
          <w:color w:val="FF0000"/>
          <w:sz w:val="28"/>
          <w:szCs w:val="28"/>
        </w:rPr>
        <w:t>平方公尺</w:t>
      </w:r>
      <w:r>
        <w:rPr>
          <w:rFonts w:eastAsia="標楷體" w:hAnsi="標楷體" w:hint="eastAsia"/>
          <w:color w:val="FF0000"/>
          <w:sz w:val="28"/>
          <w:szCs w:val="28"/>
        </w:rPr>
        <w:t>、東棟教學大樓</w:t>
      </w:r>
      <w:r w:rsidRPr="00B34BC9">
        <w:rPr>
          <w:rFonts w:eastAsia="標楷體" w:hAnsi="標楷體" w:hint="eastAsia"/>
          <w:color w:val="FF0000"/>
          <w:sz w:val="28"/>
          <w:szCs w:val="28"/>
        </w:rPr>
        <w:t>基地面積</w:t>
      </w:r>
      <w:r>
        <w:rPr>
          <w:rFonts w:eastAsia="標楷體" w:hAnsi="標楷體" w:hint="eastAsia"/>
          <w:color w:val="FF0000"/>
          <w:sz w:val="28"/>
          <w:szCs w:val="28"/>
        </w:rPr>
        <w:t>5</w:t>
      </w:r>
      <w:r>
        <w:rPr>
          <w:rFonts w:eastAsia="標楷體" w:hAnsi="標楷體"/>
          <w:color w:val="FF0000"/>
          <w:sz w:val="28"/>
          <w:szCs w:val="28"/>
        </w:rPr>
        <w:t>91</w:t>
      </w:r>
      <w:r>
        <w:rPr>
          <w:rFonts w:eastAsia="標楷體" w:hAnsi="標楷體" w:hint="eastAsia"/>
          <w:color w:val="FF0000"/>
          <w:sz w:val="28"/>
          <w:szCs w:val="28"/>
        </w:rPr>
        <w:t>平方公尺</w:t>
      </w:r>
      <w:r w:rsidRPr="00B34BC9">
        <w:rPr>
          <w:rFonts w:eastAsia="標楷體" w:hAnsi="標楷體" w:hint="eastAsia"/>
          <w:color w:val="FF0000"/>
          <w:sz w:val="28"/>
          <w:szCs w:val="28"/>
        </w:rPr>
        <w:t>、</w:t>
      </w:r>
      <w:r w:rsidR="00FD0D88">
        <w:rPr>
          <w:rFonts w:eastAsia="標楷體" w:hAnsi="標楷體" w:hint="eastAsia"/>
          <w:color w:val="FF0000"/>
          <w:sz w:val="28"/>
          <w:szCs w:val="28"/>
        </w:rPr>
        <w:t>圖書室</w:t>
      </w:r>
      <w:r w:rsidRPr="00B34BC9">
        <w:rPr>
          <w:rFonts w:eastAsia="標楷體" w:hAnsi="標楷體" w:hint="eastAsia"/>
          <w:color w:val="FF0000"/>
          <w:sz w:val="28"/>
          <w:szCs w:val="28"/>
        </w:rPr>
        <w:t>基地面積</w:t>
      </w:r>
      <w:r w:rsidR="003540AD">
        <w:rPr>
          <w:rFonts w:eastAsia="標楷體" w:hAnsi="標楷體" w:hint="eastAsia"/>
          <w:color w:val="FF0000"/>
          <w:sz w:val="28"/>
          <w:szCs w:val="28"/>
        </w:rPr>
        <w:t>186</w:t>
      </w:r>
      <w:r w:rsidR="003540AD">
        <w:rPr>
          <w:rFonts w:eastAsia="標楷體" w:hAnsi="標楷體" w:hint="eastAsia"/>
          <w:color w:val="FF0000"/>
          <w:sz w:val="28"/>
          <w:szCs w:val="28"/>
        </w:rPr>
        <w:t>平方公尺</w:t>
      </w:r>
      <w:r w:rsidR="003540AD">
        <w:rPr>
          <w:rFonts w:eastAsia="標楷體" w:hAnsi="標楷體"/>
          <w:color w:val="FF0000"/>
          <w:sz w:val="28"/>
          <w:szCs w:val="28"/>
        </w:rPr>
        <w:t>;</w:t>
      </w:r>
      <w:r w:rsidRPr="00B34BC9">
        <w:rPr>
          <w:rFonts w:eastAsia="標楷體" w:hAnsi="標楷體" w:hint="eastAsia"/>
          <w:color w:val="FF0000"/>
          <w:sz w:val="28"/>
          <w:szCs w:val="28"/>
        </w:rPr>
        <w:t>籃球場基地面積</w:t>
      </w:r>
      <w:r>
        <w:rPr>
          <w:rFonts w:eastAsia="標楷體" w:hAnsi="標楷體" w:hint="eastAsia"/>
          <w:color w:val="FF0000"/>
          <w:sz w:val="28"/>
          <w:szCs w:val="28"/>
        </w:rPr>
        <w:t>6</w:t>
      </w:r>
      <w:r>
        <w:rPr>
          <w:rFonts w:eastAsia="標楷體" w:hAnsi="標楷體"/>
          <w:color w:val="FF0000"/>
          <w:sz w:val="28"/>
          <w:szCs w:val="28"/>
        </w:rPr>
        <w:t>00</w:t>
      </w:r>
      <w:r>
        <w:rPr>
          <w:rFonts w:eastAsia="標楷體" w:hAnsi="標楷體" w:hint="eastAsia"/>
          <w:color w:val="FF0000"/>
          <w:sz w:val="28"/>
          <w:szCs w:val="28"/>
        </w:rPr>
        <w:t>平方公</w:t>
      </w:r>
      <w:r w:rsidR="003540AD">
        <w:rPr>
          <w:rFonts w:eastAsia="標楷體" w:hAnsi="標楷體" w:hint="eastAsia"/>
          <w:color w:val="FF0000"/>
          <w:sz w:val="28"/>
          <w:szCs w:val="28"/>
        </w:rPr>
        <w:t>尺</w:t>
      </w:r>
      <w:r>
        <w:rPr>
          <w:rFonts w:eastAsia="標楷體" w:hAnsi="標楷體" w:hint="eastAsia"/>
          <w:color w:val="FF0000"/>
          <w:sz w:val="28"/>
          <w:szCs w:val="28"/>
        </w:rPr>
        <w:t>、遊戲器材區</w:t>
      </w:r>
      <w:r w:rsidRPr="00B34BC9">
        <w:rPr>
          <w:rFonts w:eastAsia="標楷體" w:hAnsi="標楷體" w:hint="eastAsia"/>
          <w:color w:val="FF0000"/>
          <w:sz w:val="28"/>
          <w:szCs w:val="28"/>
        </w:rPr>
        <w:t>基地面積</w:t>
      </w:r>
      <w:r>
        <w:rPr>
          <w:rFonts w:eastAsia="標楷體" w:hAnsi="標楷體"/>
          <w:color w:val="FF0000"/>
          <w:sz w:val="28"/>
          <w:szCs w:val="28"/>
        </w:rPr>
        <w:t>450</w:t>
      </w:r>
      <w:r w:rsidRPr="00B34BC9">
        <w:rPr>
          <w:rFonts w:eastAsia="標楷體" w:hAnsi="標楷體"/>
          <w:color w:val="FF0000"/>
          <w:sz w:val="28"/>
          <w:szCs w:val="28"/>
        </w:rPr>
        <w:t>平方公尺，合計</w:t>
      </w:r>
      <w:r>
        <w:rPr>
          <w:rFonts w:eastAsia="標楷體" w:hAnsi="標楷體"/>
          <w:color w:val="FF0000"/>
          <w:sz w:val="28"/>
          <w:szCs w:val="28"/>
        </w:rPr>
        <w:t>2318</w:t>
      </w:r>
      <w:r w:rsidRPr="00B34BC9">
        <w:rPr>
          <w:rFonts w:eastAsia="標楷體" w:hAnsi="標楷體"/>
          <w:color w:val="FF0000"/>
          <w:sz w:val="28"/>
          <w:szCs w:val="28"/>
        </w:rPr>
        <w:t>平方公尺</w:t>
      </w:r>
      <w:r w:rsidR="00DE5692" w:rsidRPr="00B34BC9">
        <w:rPr>
          <w:rFonts w:eastAsia="標楷體" w:hAnsi="標楷體" w:hint="eastAsia"/>
          <w:color w:val="FF0000"/>
          <w:sz w:val="28"/>
          <w:szCs w:val="28"/>
        </w:rPr>
        <w:t>）</w:t>
      </w:r>
      <w:r w:rsidR="00DE5692" w:rsidRPr="00B34BC9">
        <w:rPr>
          <w:rFonts w:eastAsia="標楷體" w:hAnsi="標楷體" w:hint="eastAsia"/>
          <w:color w:val="000000" w:themeColor="text1"/>
          <w:sz w:val="28"/>
          <w:szCs w:val="28"/>
        </w:rPr>
        <w:t>。</w:t>
      </w:r>
    </w:p>
    <w:p w14:paraId="36BEE8D6" w14:textId="77777777"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14:paraId="54F73D79" w14:textId="77777777"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2BFE1BBB"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4E7AA76E"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14:paraId="52760046" w14:textId="77777777"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13F56B0E"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4918A199"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50FC362F"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76B78D7A"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7ABB6A71"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02EF6B43"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Pr="00982598">
        <w:rPr>
          <w:rFonts w:ascii="Times New Roman" w:eastAsia="標楷體" w:hAnsi="Times New Roman" w:cs="Times New Roman"/>
          <w:kern w:val="0"/>
          <w:sz w:val="28"/>
          <w:szCs w:val="28"/>
        </w:rPr>
        <w:t>面積。</w:t>
      </w:r>
    </w:p>
    <w:p w14:paraId="35F2A6B5"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38F23E88"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14:paraId="4055AA8B" w14:textId="77777777"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14:paraId="317C66BF" w14:textId="77777777"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14:paraId="0C7E7579" w14:textId="77777777"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6A6D4C64"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7E188352"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14:paraId="0D72EFAE"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0D61A8AD" w14:textId="77777777"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14:paraId="7690ACBE" w14:textId="5BED9E22" w:rsidR="0083716E" w:rsidRPr="0083716E" w:rsidRDefault="009C4F6D"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w:t>
      </w:r>
      <w:r>
        <w:rPr>
          <w:rFonts w:eastAsia="標楷體" w:hAnsi="標楷體" w:hint="eastAsia"/>
          <w:color w:val="000000" w:themeColor="text1"/>
          <w:sz w:val="28"/>
          <w:szCs w:val="28"/>
        </w:rPr>
        <w:t>八</w:t>
      </w:r>
      <w:r w:rsidR="0083716E">
        <w:rPr>
          <w:rFonts w:eastAsia="標楷體" w:hAnsi="標楷體"/>
          <w:color w:val="000000" w:themeColor="text1"/>
          <w:sz w:val="28"/>
          <w:szCs w:val="28"/>
        </w:rPr>
        <w:t>條規定</w:t>
      </w:r>
      <w:r w:rsidR="0083716E">
        <w:rPr>
          <w:rFonts w:eastAsia="標楷體" w:hAnsi="標楷體" w:hint="eastAsia"/>
          <w:color w:val="000000" w:themeColor="text1"/>
          <w:sz w:val="28"/>
          <w:szCs w:val="28"/>
        </w:rPr>
        <w:t>。</w:t>
      </w:r>
    </w:p>
    <w:p w14:paraId="273FE232"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58D564AA"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14:paraId="0D83B90F"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115F2C20"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w:t>
      </w:r>
      <w:r w:rsidRPr="002A2E9D">
        <w:rPr>
          <w:rFonts w:ascii="Times New Roman" w:eastAsia="標楷體" w:hAnsi="Times New Roman" w:cs="Times New Roman" w:hint="eastAsia"/>
          <w:kern w:val="0"/>
          <w:sz w:val="28"/>
          <w:szCs w:val="28"/>
        </w:rPr>
        <w:lastRenderedPageBreak/>
        <w:t>面積、鑽探資料及是否有其它原定用途等相關事項。</w:t>
      </w:r>
    </w:p>
    <w:p w14:paraId="0B2C7988"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14:paraId="443F08D5" w14:textId="77777777"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4142B696" w14:textId="77777777"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14:paraId="37635EDA"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7A3A9A2C"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3539870A" w14:textId="20715BBA" w:rsidR="005A207D" w:rsidRDefault="005A207D" w:rsidP="00DD275C">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w:t>
      </w:r>
      <w:r w:rsidR="00DD275C" w:rsidRPr="00DD275C">
        <w:rPr>
          <w:rFonts w:ascii="Times New Roman" w:eastAsia="標楷體" w:hAnsi="Times New Roman" w:cs="Times New Roman" w:hint="eastAsia"/>
          <w:color w:val="FF0000"/>
          <w:kern w:val="0"/>
          <w:sz w:val="28"/>
          <w:szCs w:val="28"/>
        </w:rPr>
        <w:t>並須提供專業土木技師或結構技師公會評估出具樓板承載能力是否足以負荷光電設施靜載重之相關證明文件，其所茲生之費用由承租廠商負責</w:t>
      </w:r>
      <w:r w:rsidR="00DD275C" w:rsidRPr="00DD275C">
        <w:rPr>
          <w:rFonts w:ascii="Times New Roman" w:eastAsia="標楷體" w:hAnsi="Times New Roman" w:cs="Times New Roman" w:hint="eastAsia"/>
          <w:kern w:val="0"/>
          <w:sz w:val="28"/>
          <w:szCs w:val="28"/>
        </w:rPr>
        <w:t>。</w:t>
      </w:r>
      <w:r w:rsidRPr="005A207D">
        <w:rPr>
          <w:rFonts w:ascii="Times New Roman" w:eastAsia="標楷體" w:hAnsi="Times New Roman" w:cs="Times New Roman" w:hint="eastAsia"/>
          <w:kern w:val="0"/>
          <w:sz w:val="28"/>
          <w:szCs w:val="28"/>
        </w:rPr>
        <w:t>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7AFE6A9D"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14:paraId="0D4CFD07"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lastRenderedPageBreak/>
        <w:t>乙方對租賃地應盡善良保管責任，如因故意、過失或施工不良，致房舍及其他設備損毀時，願負一切損害賠償責任，絕無異議，其損害金額得自履約保證金扣除，不足部分再向乙方求償；其需修繕者，亦同。</w:t>
      </w:r>
    </w:p>
    <w:p w14:paraId="5D93AFE9"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05D06A98"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14:paraId="279600BE"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14:paraId="40A7435A"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14:paraId="6BCFB4BA"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1A552607"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4FA0A818" w14:textId="77777777"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14:paraId="615D7A7B" w14:textId="77777777"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14:paraId="5A30B1C0" w14:textId="77777777"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14:paraId="191FF043" w14:textId="77777777"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r w:rsidRPr="000C231D">
        <w:rPr>
          <w:rFonts w:ascii="標楷體" w:eastAsia="標楷體" w:hAnsi="標楷體" w:cs="Times New Roman" w:hint="eastAsia"/>
          <w:kern w:val="0"/>
          <w:sz w:val="28"/>
          <w:szCs w:val="28"/>
        </w:rPr>
        <w:t>）</w:t>
      </w:r>
      <w:r w:rsidR="00BF79D7" w:rsidRPr="002C16E6">
        <w:rPr>
          <w:rFonts w:ascii="Times New Roman" w:eastAsia="標楷體" w:hAnsi="Times New Roman" w:cs="Times New Roman"/>
          <w:kern w:val="0"/>
          <w:sz w:val="28"/>
          <w:szCs w:val="28"/>
        </w:rPr>
        <w:t>。</w:t>
      </w:r>
    </w:p>
    <w:p w14:paraId="79510830" w14:textId="77777777"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(kWp)</w:t>
      </w:r>
    </w:p>
    <w:p w14:paraId="34B40F13" w14:textId="77777777"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14:paraId="7AB32CA2" w14:textId="77777777"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46C42FCC" w14:textId="77777777"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14:paraId="6F6A8324" w14:textId="77777777"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14:paraId="6435FAB4" w14:textId="77777777"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lastRenderedPageBreak/>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條製作前一年七月至十二月與該年一月至六月經營年租金繳納明細表，並經會計師簽章後掛號郵寄（以郵戳為憑）至甲方，經營年租金繳納明細表如有錯誤需更正，乙方應於十五日內完成更正。</w:t>
      </w:r>
    </w:p>
    <w:p w14:paraId="05DFCAB3"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14:paraId="756FD971"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14:paraId="5EF5A887" w14:textId="77777777"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114F3337" w14:textId="77777777"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於決標之次日起算至</w:t>
      </w:r>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日曆天內，承租廠商應完成標租設備設置容量，完成標租設備設置容量的認定為系統至少須完成併聯試運轉。未能依上述期間設置完成，每逾一日未完成應設置容量，按日收取懲罰性違約金新台幣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14:paraId="266C753C" w14:textId="77777777"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14:paraId="29DA57BD"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3864B870"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0B04852B"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47758C5A"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03962859"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32969508" w14:textId="77777777"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55E01E4F" w14:textId="77777777"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w:t>
      </w:r>
      <w:r w:rsidRPr="00997A4C">
        <w:rPr>
          <w:rFonts w:ascii="標楷體" w:eastAsia="標楷體" w:hAnsi="標楷體" w:hint="eastAsia"/>
          <w:color w:val="000000" w:themeColor="text1"/>
          <w:kern w:val="0"/>
          <w:sz w:val="28"/>
          <w:szCs w:val="28"/>
        </w:rPr>
        <w:lastRenderedPageBreak/>
        <w:t>罰性違約金計算準用之</w:t>
      </w:r>
      <w:r w:rsidRPr="00997A4C">
        <w:rPr>
          <w:rFonts w:ascii="標楷體" w:eastAsia="標楷體" w:hAnsi="標楷體"/>
          <w:color w:val="000000" w:themeColor="text1"/>
          <w:kern w:val="0"/>
          <w:sz w:val="28"/>
          <w:szCs w:val="28"/>
        </w:rPr>
        <w:t>。</w:t>
      </w:r>
    </w:p>
    <w:p w14:paraId="11F7A4B4"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14:paraId="6476455C" w14:textId="7777777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284FCE90" w14:textId="08670049"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9C4F6D">
        <w:rPr>
          <w:rFonts w:ascii="標楷體" w:eastAsia="標楷體" w:hAnsi="標楷體" w:cs="Times New Roman" w:hint="eastAsia"/>
          <w:kern w:val="0"/>
          <w:sz w:val="28"/>
          <w:szCs w:val="28"/>
        </w:rPr>
        <w:t>「</w:t>
      </w:r>
      <w:r w:rsidR="009C4F6D" w:rsidRPr="00B220B4">
        <w:rPr>
          <w:rFonts w:eastAsia="標楷體" w:hAnsi="標楷體" w:hint="eastAsia"/>
          <w:color w:val="FF0000"/>
          <w:sz w:val="28"/>
          <w:szCs w:val="32"/>
          <w:highlight w:val="yellow"/>
        </w:rPr>
        <w:t>臺南市</w:t>
      </w:r>
      <w:r w:rsidR="009C4F6D" w:rsidRPr="00B220B4">
        <w:rPr>
          <w:rFonts w:ascii="標楷體" w:eastAsia="標楷體" w:hAnsi="標楷體" w:hint="eastAsia"/>
          <w:color w:val="FF0000"/>
          <w:sz w:val="28"/>
          <w:szCs w:val="32"/>
          <w:highlight w:val="yellow"/>
        </w:rPr>
        <w:t>關廟</w:t>
      </w:r>
      <w:r w:rsidR="009C4F6D" w:rsidRPr="00B220B4">
        <w:rPr>
          <w:rFonts w:eastAsia="標楷體" w:hAnsi="標楷體"/>
          <w:color w:val="FF0000"/>
          <w:sz w:val="28"/>
          <w:szCs w:val="32"/>
          <w:highlight w:val="yellow"/>
        </w:rPr>
        <w:t>區</w:t>
      </w:r>
      <w:r w:rsidR="009C4F6D" w:rsidRPr="00B220B4">
        <w:rPr>
          <w:rFonts w:ascii="標楷體" w:eastAsia="標楷體" w:hAnsi="標楷體" w:hint="eastAsia"/>
          <w:color w:val="FF0000"/>
          <w:sz w:val="28"/>
          <w:szCs w:val="32"/>
          <w:highlight w:val="yellow"/>
        </w:rPr>
        <w:t>保東</w:t>
      </w:r>
      <w:r w:rsidR="009C4F6D" w:rsidRPr="00B220B4">
        <w:rPr>
          <w:rFonts w:eastAsia="標楷體" w:hAnsi="標楷體"/>
          <w:color w:val="FF0000"/>
          <w:sz w:val="28"/>
          <w:szCs w:val="32"/>
          <w:highlight w:val="yellow"/>
        </w:rPr>
        <w:t>國民小學</w:t>
      </w:r>
      <w:r w:rsidR="009C4F6D">
        <w:rPr>
          <w:rFonts w:eastAsia="標楷體" w:hAnsi="標楷體" w:hint="eastAsia"/>
          <w:color w:val="FF0000"/>
          <w:sz w:val="28"/>
          <w:szCs w:val="32"/>
          <w:highlight w:val="yellow"/>
        </w:rPr>
        <w:t>保管款專戶</w:t>
      </w:r>
      <w:r w:rsidR="00582F71" w:rsidRPr="002C16E6">
        <w:rPr>
          <w:rFonts w:ascii="Times New Roman" w:eastAsia="標楷體" w:hAnsi="Times New Roman" w:cs="Times New Roman"/>
          <w:kern w:val="0"/>
          <w:sz w:val="28"/>
          <w:szCs w:val="28"/>
        </w:rPr>
        <w:t>」）、金融機構所簽發之本票、支票、保付支票、郵政匯票（抬頭應書名：「</w:t>
      </w:r>
      <w:r w:rsidR="009C4F6D" w:rsidRPr="00B220B4">
        <w:rPr>
          <w:rFonts w:eastAsia="標楷體" w:hAnsi="標楷體" w:hint="eastAsia"/>
          <w:color w:val="FF0000"/>
          <w:sz w:val="28"/>
          <w:szCs w:val="32"/>
          <w:highlight w:val="yellow"/>
        </w:rPr>
        <w:t>臺南市</w:t>
      </w:r>
      <w:r w:rsidR="009C4F6D" w:rsidRPr="00B220B4">
        <w:rPr>
          <w:rFonts w:ascii="標楷體" w:eastAsia="標楷體" w:hAnsi="標楷體" w:hint="eastAsia"/>
          <w:color w:val="FF0000"/>
          <w:sz w:val="28"/>
          <w:szCs w:val="32"/>
          <w:highlight w:val="yellow"/>
        </w:rPr>
        <w:t>關廟</w:t>
      </w:r>
      <w:r w:rsidR="009C4F6D" w:rsidRPr="00B220B4">
        <w:rPr>
          <w:rFonts w:eastAsia="標楷體" w:hAnsi="標楷體"/>
          <w:color w:val="FF0000"/>
          <w:sz w:val="28"/>
          <w:szCs w:val="32"/>
          <w:highlight w:val="yellow"/>
        </w:rPr>
        <w:t>區</w:t>
      </w:r>
      <w:r w:rsidR="009C4F6D" w:rsidRPr="00B220B4">
        <w:rPr>
          <w:rFonts w:ascii="標楷體" w:eastAsia="標楷體" w:hAnsi="標楷體" w:hint="eastAsia"/>
          <w:color w:val="FF0000"/>
          <w:sz w:val="28"/>
          <w:szCs w:val="32"/>
          <w:highlight w:val="yellow"/>
        </w:rPr>
        <w:t>保東</w:t>
      </w:r>
      <w:r w:rsidR="009C4F6D" w:rsidRPr="00B220B4">
        <w:rPr>
          <w:rFonts w:eastAsia="標楷體" w:hAnsi="標楷體"/>
          <w:color w:val="FF0000"/>
          <w:sz w:val="28"/>
          <w:szCs w:val="32"/>
          <w:highlight w:val="yellow"/>
        </w:rPr>
        <w:t>國民小學</w:t>
      </w:r>
      <w:r w:rsidR="009C4F6D">
        <w:rPr>
          <w:rFonts w:eastAsia="標楷體" w:hAnsi="標楷體" w:hint="eastAsia"/>
          <w:color w:val="FF0000"/>
          <w:sz w:val="28"/>
          <w:szCs w:val="32"/>
          <w:highlight w:val="yellow"/>
        </w:rPr>
        <w:t>保管款專戶</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【若以現金以外方式繳納，需將履約保證</w:t>
      </w:r>
      <w:bookmarkStart w:id="0" w:name="_GoBack"/>
      <w:bookmarkEnd w:id="0"/>
      <w:r w:rsidR="00BC03B4" w:rsidRPr="002C16E6">
        <w:rPr>
          <w:rFonts w:ascii="Times New Roman" w:eastAsia="標楷體" w:hAnsi="Times New Roman" w:cs="Times New Roman" w:hint="eastAsia"/>
          <w:kern w:val="0"/>
          <w:sz w:val="28"/>
          <w:szCs w:val="28"/>
        </w:rPr>
        <w:t>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票據各佔履約保證金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份票據佔履約保證金二分之一金額。若押標金已繳抵履約保證金，則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票據為履約保證金二分之一金額扣除押標金後得之。</w:t>
      </w:r>
      <w:r w:rsidR="00BC03B4" w:rsidRPr="00E752B0">
        <w:rPr>
          <w:rFonts w:ascii="Times New Roman" w:eastAsia="標楷體" w:hAnsi="Times New Roman" w:cs="Times New Roman" w:hint="eastAsia"/>
          <w:kern w:val="0"/>
          <w:sz w:val="28"/>
          <w:szCs w:val="28"/>
        </w:rPr>
        <w:t>】</w:t>
      </w:r>
    </w:p>
    <w:p w14:paraId="18B4329F" w14:textId="77777777"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14:paraId="5406BC1A"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14:paraId="216B1015"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354B8EB"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0446C732"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A548901"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818BBEA"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7EDBD9A"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68F7C43"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99EDC79"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1E7CE866"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8EC4DBF"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14:paraId="5C6F772B" w14:textId="77777777"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14:paraId="3B3BA435" w14:textId="7777777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14:paraId="7A175B32"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6D12741D"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77FD6C8D" w14:textId="77777777"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503A4C57" w14:textId="77777777"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14:paraId="678F8DD4"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14:paraId="0940F142"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14:paraId="1B743264"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w:t>
      </w:r>
      <w:r w:rsidRPr="00806F9D">
        <w:rPr>
          <w:rFonts w:ascii="標楷體" w:eastAsia="標楷體" w:hAnsi="標楷體" w:cs="Times New Roman"/>
          <w:color w:val="000000" w:themeColor="text1"/>
          <w:sz w:val="28"/>
          <w:szCs w:val="28"/>
        </w:rPr>
        <w:lastRenderedPageBreak/>
        <w:t>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53BDEFC2"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14:paraId="38A3BF9E"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14:paraId="7CFAD794"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14:paraId="3E2D3809"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14:paraId="67CB8111"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14:paraId="0523542D"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37610483"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1FF6D7FB"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5BC8691C"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32754877" w14:textId="77777777"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5869C948"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6D5BB701"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7288981F"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7D40D9B7"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3BED3672"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164E7BB9" w14:textId="77777777"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14:paraId="5BED268C"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w:t>
      </w:r>
      <w:r w:rsidRPr="002C16E6">
        <w:rPr>
          <w:rFonts w:ascii="Times New Roman" w:eastAsia="標楷體" w:hAnsi="Times New Roman" w:cs="Times New Roman"/>
          <w:kern w:val="0"/>
          <w:sz w:val="28"/>
          <w:szCs w:val="28"/>
        </w:rPr>
        <w:lastRenderedPageBreak/>
        <w:t>法令經主管機關命令解散、停業或歇業者。</w:t>
      </w:r>
    </w:p>
    <w:p w14:paraId="33ECA77F"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14:paraId="18E2766D"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14:paraId="42E5EB6B"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09854E14"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14:paraId="5A10FF73"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14:paraId="5924C2BB"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724F659C"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14:paraId="6AF9FE2A"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13989210"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5F282C94"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23430F85"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5EB72E6B"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347C9531"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2A7435DE"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474360E9"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7EE9AD9F"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65B6AAF0"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2BC8B4E5"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14:paraId="4DD08AC2"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54681EF3"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w:t>
      </w:r>
      <w:r w:rsidRPr="002C16E6">
        <w:rPr>
          <w:rFonts w:ascii="Times New Roman" w:eastAsia="標楷體" w:hAnsi="Times New Roman" w:cs="Times New Roman"/>
          <w:w w:val="101"/>
          <w:kern w:val="0"/>
          <w:sz w:val="28"/>
          <w:szCs w:val="28"/>
        </w:rPr>
        <w:lastRenderedPageBreak/>
        <w:t>無法繼續履行者，雙方得終止或解除全部契約。</w:t>
      </w:r>
    </w:p>
    <w:p w14:paraId="39782E63"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14:paraId="52986B33"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3C555832"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14:paraId="312559BF"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00F0B73A"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2DB1E072"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1BFC4DFC"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39486FFC"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14:paraId="2AFCF7EB"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45BFBA9A"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676683AE"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62D68CF7"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5BEAC901"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乙方返還租賃空間時，拆除太陽能光電系統設備及所興建之風雨球場主結構支架時，若造成其他建物或其設施受損時，應負完全修復責任，修復費用由乙方負擔，得自履約保證金扣除，不足部分再向乙方求償。</w:t>
      </w:r>
    </w:p>
    <w:p w14:paraId="592E0D12"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lastRenderedPageBreak/>
        <w:t>乙方於租賃期間或返還租賃空間時，其所汰換或拆除之太陽能光電系統設備及相關零組件，須依中央主管機關及縣市環保局所頒訂之廢棄物處理相關法令規定辦理，相關費用由乙方負擔。</w:t>
      </w:r>
    </w:p>
    <w:p w14:paraId="56B83FFB"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757B7538"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1C4CDAE9"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14:paraId="4B76CFF8"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28154732"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5359046E"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14:paraId="190BE3CE"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782F0244"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3E76DFE4"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71780AF6"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14:paraId="2549771B" w14:textId="77777777"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0E6B047A" w14:textId="77777777"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14:paraId="3A97829B"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617A3652"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2882C29B"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14:paraId="3B706D7B"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14:paraId="6324D1DC"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14:paraId="1693DE62"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41C719F0"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0E3AD8D8"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029D82FB" w14:textId="77777777"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6FB6869C" w14:textId="77777777"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48570E0D" w14:textId="77777777"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14:paraId="4EC2F18C" w14:textId="77777777"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14:paraId="27B9661F"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14:paraId="0E8F7A13"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w:t>
      </w:r>
      <w:r w:rsidRPr="002C16E6">
        <w:rPr>
          <w:rFonts w:ascii="Times New Roman" w:eastAsia="標楷體" w:hAnsi="Times New Roman" w:cs="Times New Roman" w:hint="eastAsia"/>
          <w:sz w:val="28"/>
          <w:szCs w:val="28"/>
        </w:rPr>
        <w:lastRenderedPageBreak/>
        <w:t>以利甲方彙整太陽光電發電效益統計。</w:t>
      </w:r>
    </w:p>
    <w:p w14:paraId="314AD0F8"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14:paraId="4EB84471" w14:textId="77777777" w:rsidR="00DD275C" w:rsidRDefault="00EE1705" w:rsidP="00C3568E">
      <w:pPr>
        <w:pStyle w:val="a4"/>
        <w:numPr>
          <w:ilvl w:val="0"/>
          <w:numId w:val="18"/>
        </w:numPr>
        <w:snapToGrid w:val="0"/>
        <w:spacing w:line="44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r w:rsidR="00DD275C" w:rsidRPr="00DF3FF0">
        <w:rPr>
          <w:rFonts w:ascii="Times New Roman" w:eastAsia="標楷體" w:hAnsi="Times New Roman" w:cs="Times New Roman"/>
          <w:b/>
          <w:color w:val="0000FF"/>
          <w:sz w:val="28"/>
          <w:szCs w:val="28"/>
        </w:rPr>
        <w:t>除此之外，甲方要求乙方承諾事項如下：</w:t>
      </w:r>
    </w:p>
    <w:p w14:paraId="0E26745A" w14:textId="42BB2A3F" w:rsidR="00DD275C" w:rsidRPr="00C3568E" w:rsidRDefault="00DD275C" w:rsidP="00C3568E">
      <w:pPr>
        <w:pStyle w:val="a4"/>
        <w:numPr>
          <w:ilvl w:val="3"/>
          <w:numId w:val="18"/>
        </w:numPr>
        <w:spacing w:line="440" w:lineRule="exact"/>
        <w:ind w:leftChars="0"/>
        <w:rPr>
          <w:rFonts w:ascii="標楷體" w:eastAsia="標楷體" w:hAnsi="標楷體"/>
          <w:b/>
          <w:color w:val="0000FF"/>
          <w:sz w:val="28"/>
          <w:szCs w:val="28"/>
        </w:rPr>
      </w:pPr>
      <w:r w:rsidRPr="00C3568E">
        <w:rPr>
          <w:rFonts w:ascii="標楷體" w:eastAsia="標楷體" w:hAnsi="標楷體" w:hint="eastAsia"/>
          <w:b/>
          <w:color w:val="0000FF"/>
          <w:sz w:val="28"/>
          <w:szCs w:val="28"/>
        </w:rPr>
        <w:t>光電球場屋頂需涵蓋籃球場、國小遊戲場及幼兒園遊戲場，形成一個L型，建物立柱位置需配合遊戲場相關規範</w:t>
      </w:r>
      <w:r w:rsidR="00C3568E" w:rsidRPr="00C3568E">
        <w:rPr>
          <w:rFonts w:ascii="標楷體" w:eastAsia="標楷體" w:hAnsi="標楷體" w:hint="eastAsia"/>
          <w:b/>
          <w:color w:val="0000FF"/>
          <w:sz w:val="28"/>
          <w:szCs w:val="28"/>
        </w:rPr>
        <w:t>，其相關費用由乙方負擔。</w:t>
      </w:r>
    </w:p>
    <w:p w14:paraId="744A573E" w14:textId="4DF224E8" w:rsidR="00DD275C" w:rsidRPr="00DF3FF0" w:rsidRDefault="00DD275C" w:rsidP="00C3568E">
      <w:pPr>
        <w:pStyle w:val="a4"/>
        <w:numPr>
          <w:ilvl w:val="3"/>
          <w:numId w:val="18"/>
        </w:numPr>
        <w:snapToGrid w:val="0"/>
        <w:spacing w:line="44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東棟教學大樓屋頂採密閉式防漏施工方式</w:t>
      </w:r>
      <w:r w:rsidR="00C3568E" w:rsidRPr="00C3568E">
        <w:rPr>
          <w:rFonts w:ascii="標楷體" w:eastAsia="標楷體" w:hAnsi="標楷體" w:hint="eastAsia"/>
          <w:b/>
          <w:color w:val="0000FF"/>
          <w:sz w:val="28"/>
          <w:szCs w:val="28"/>
        </w:rPr>
        <w:t>，其相關費用由乙方負擔。</w:t>
      </w:r>
    </w:p>
    <w:p w14:paraId="6301C85A" w14:textId="19BDDA5B" w:rsidR="00DD275C" w:rsidRPr="00C3568E" w:rsidRDefault="00C3568E" w:rsidP="00C3568E">
      <w:pPr>
        <w:pStyle w:val="a4"/>
        <w:numPr>
          <w:ilvl w:val="3"/>
          <w:numId w:val="18"/>
        </w:numPr>
        <w:spacing w:line="440" w:lineRule="exact"/>
        <w:ind w:leftChars="0"/>
        <w:rPr>
          <w:rFonts w:ascii="標楷體" w:eastAsia="標楷體" w:hAnsi="標楷體" w:cs="Times New Roman"/>
          <w:b/>
          <w:color w:val="0000FF"/>
          <w:sz w:val="28"/>
          <w:szCs w:val="28"/>
        </w:rPr>
      </w:pPr>
      <w:r w:rsidRPr="00C3568E">
        <w:rPr>
          <w:rFonts w:ascii="標楷體" w:eastAsia="標楷體" w:hAnsi="標楷體" w:cs="Times New Roman" w:hint="eastAsia"/>
          <w:b/>
          <w:color w:val="0000FF"/>
          <w:sz w:val="28"/>
          <w:szCs w:val="28"/>
        </w:rPr>
        <w:t>籃球場新設風雨光電球場，其球場內部屋頂需設置LED燈含佈線與供電，球場地坪舖面修復(如5道以上壓克力漆)及畫線；另場內周遭樹木部分移植或移除，場外樹木不定期修剪高度以不阻礙太陽光電板照射為主，其相關費用由乙方負擔。</w:t>
      </w:r>
    </w:p>
    <w:p w14:paraId="56701503" w14:textId="77777777" w:rsidR="00DD275C" w:rsidRPr="00DF3FF0" w:rsidRDefault="00DD275C" w:rsidP="00C3568E">
      <w:pPr>
        <w:pStyle w:val="a4"/>
        <w:numPr>
          <w:ilvl w:val="3"/>
          <w:numId w:val="18"/>
        </w:numPr>
        <w:snapToGrid w:val="0"/>
        <w:spacing w:line="276" w:lineRule="auto"/>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架設屋頂太陽光電板及光電球場時，以棟、場為單位，並配合太陽光電饋線布置開挖路面範圍，以最短路徑之既有網點位置布置預留管線；前述預留管路路徑與位置，以透過本案施工前協調會做成紀錄決議據以辦理施作，其相關</w:t>
      </w:r>
      <w:r w:rsidRPr="00DF3FF0">
        <w:rPr>
          <w:rFonts w:ascii="標楷體" w:eastAsia="標楷體" w:hAnsi="標楷體" w:cs="Times New Roman" w:hint="eastAsia"/>
          <w:b/>
          <w:color w:val="0000FF"/>
          <w:sz w:val="28"/>
          <w:szCs w:val="28"/>
        </w:rPr>
        <w:t>費用由乙方負擔</w:t>
      </w:r>
      <w:r w:rsidRPr="00DF3FF0">
        <w:rPr>
          <w:rFonts w:ascii="標楷體" w:eastAsia="標楷體" w:hAnsi="標楷體" w:hint="eastAsia"/>
          <w:b/>
          <w:color w:val="0000FF"/>
          <w:sz w:val="28"/>
          <w:szCs w:val="28"/>
        </w:rPr>
        <w:t>。</w:t>
      </w:r>
    </w:p>
    <w:p w14:paraId="24E2F8A5" w14:textId="77777777" w:rsidR="00DD275C" w:rsidRPr="00DF3FF0" w:rsidRDefault="00DD275C" w:rsidP="00C3568E">
      <w:pPr>
        <w:pStyle w:val="a4"/>
        <w:numPr>
          <w:ilvl w:val="3"/>
          <w:numId w:val="18"/>
        </w:numPr>
        <w:snapToGrid w:val="0"/>
        <w:spacing w:line="276" w:lineRule="auto"/>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履約期間若屋頂太陽光電板防水及光電球場漏水時，經校方通知日隔日起最晚7日曆天內至現場勘查狀況後，於勘查隔日起最晚14日曆天內完成修繕防漏；若較為嚴重(如光電板傾倒導致樓板破洞漏水</w:t>
      </w:r>
      <w:r w:rsidRPr="00DF3FF0">
        <w:rPr>
          <w:rFonts w:ascii="標楷體" w:eastAsia="標楷體" w:hAnsi="標楷體"/>
          <w:b/>
          <w:color w:val="0000FF"/>
          <w:sz w:val="28"/>
          <w:szCs w:val="28"/>
        </w:rPr>
        <w:t>…</w:t>
      </w:r>
      <w:r w:rsidRPr="00DF3FF0">
        <w:rPr>
          <w:rFonts w:ascii="標楷體" w:eastAsia="標楷體" w:hAnsi="標楷體" w:hint="eastAsia"/>
          <w:b/>
          <w:color w:val="0000FF"/>
          <w:sz w:val="28"/>
          <w:szCs w:val="28"/>
        </w:rPr>
        <w:t>等)則以校方通知日起3日內召開會議，並於會議中協調決議幾日內完成修繕與防漏工程</w:t>
      </w:r>
      <w:r w:rsidRPr="00DF3FF0">
        <w:rPr>
          <w:rFonts w:ascii="標楷體" w:eastAsia="標楷體" w:hAnsi="標楷體" w:cs="Times New Roman" w:hint="eastAsia"/>
          <w:b/>
          <w:color w:val="0000FF"/>
          <w:sz w:val="28"/>
          <w:szCs w:val="28"/>
        </w:rPr>
        <w:t>，其保固</w:t>
      </w:r>
      <w:r w:rsidRPr="00DF3FF0">
        <w:rPr>
          <w:rFonts w:ascii="標楷體" w:eastAsia="標楷體" w:hAnsi="標楷體" w:hint="eastAsia"/>
          <w:b/>
          <w:color w:val="0000FF"/>
          <w:sz w:val="28"/>
          <w:szCs w:val="28"/>
        </w:rPr>
        <w:t>依據同條第(十五)項辦理</w:t>
      </w:r>
      <w:r w:rsidRPr="00DF3FF0">
        <w:rPr>
          <w:rFonts w:ascii="標楷體" w:eastAsia="標楷體" w:hAnsi="標楷體"/>
          <w:b/>
          <w:color w:val="0000FF"/>
          <w:sz w:val="28"/>
          <w:szCs w:val="28"/>
        </w:rPr>
        <w:t>。</w:t>
      </w:r>
    </w:p>
    <w:p w14:paraId="3269A2A4" w14:textId="551DF59D" w:rsidR="00DD275C" w:rsidRPr="00DF3FF0" w:rsidRDefault="00DD275C" w:rsidP="00C3568E">
      <w:pPr>
        <w:pStyle w:val="a4"/>
        <w:numPr>
          <w:ilvl w:val="3"/>
          <w:numId w:val="18"/>
        </w:numPr>
        <w:snapToGrid w:val="0"/>
        <w:spacing w:line="276" w:lineRule="auto"/>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籃球場架設風雨光電球場時，其球場表層依據本按投標須知附錄2「</w:t>
      </w:r>
      <w:r w:rsidRPr="00DF3FF0">
        <w:rPr>
          <w:rFonts w:eastAsia="標楷體" w:hAnsi="標楷體" w:hint="eastAsia"/>
          <w:b/>
          <w:color w:val="0000FF"/>
          <w:sz w:val="28"/>
          <w:szCs w:val="28"/>
        </w:rPr>
        <w:t>學校設置地面型太陽能光電設施規範</w:t>
      </w:r>
      <w:r w:rsidRPr="00DF3FF0">
        <w:rPr>
          <w:rFonts w:ascii="標楷體" w:eastAsia="標楷體" w:hAnsi="標楷體" w:hint="eastAsia"/>
          <w:b/>
          <w:color w:val="0000FF"/>
          <w:sz w:val="28"/>
          <w:szCs w:val="28"/>
        </w:rPr>
        <w:t>」相關規定辦理，並重新繪製複合式球場(</w:t>
      </w:r>
      <w:r w:rsidRPr="00DF3FF0">
        <w:rPr>
          <w:rFonts w:ascii="標楷體" w:eastAsia="標楷體" w:hAnsi="標楷體" w:hint="eastAsia"/>
          <w:b/>
          <w:color w:val="0000FF"/>
          <w:sz w:val="28"/>
          <w:szCs w:val="28"/>
          <w:u w:val="single"/>
        </w:rPr>
        <w:t>籃、躲避球場</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r w:rsidRPr="00DF3FF0">
        <w:rPr>
          <w:rFonts w:ascii="標楷體" w:eastAsia="標楷體" w:hAnsi="標楷體" w:hint="eastAsia"/>
          <w:b/>
          <w:color w:val="0000FF"/>
          <w:sz w:val="28"/>
          <w:szCs w:val="28"/>
        </w:rPr>
        <w:t>。</w:t>
      </w:r>
    </w:p>
    <w:p w14:paraId="1991391C" w14:textId="77777777" w:rsidR="00DD275C" w:rsidRPr="00DF3FF0" w:rsidRDefault="00DD275C" w:rsidP="00C3568E">
      <w:pPr>
        <w:pStyle w:val="a4"/>
        <w:numPr>
          <w:ilvl w:val="3"/>
          <w:numId w:val="18"/>
        </w:numPr>
        <w:snapToGrid w:val="0"/>
        <w:spacing w:line="276" w:lineRule="auto"/>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依據同條第(二)項所述，需另提供32吋液晶電視(含主機)機台，</w:t>
      </w:r>
      <w:r w:rsidRPr="00DF3FF0">
        <w:rPr>
          <w:rFonts w:ascii="標楷體" w:eastAsia="標楷體" w:hAnsi="標楷體" w:cs="Times New Roman" w:hint="eastAsia"/>
          <w:b/>
          <w:color w:val="0000FF"/>
          <w:sz w:val="28"/>
          <w:szCs w:val="28"/>
        </w:rPr>
        <w:t>其安裝位置由甲方指定，並可隨時監控同條第(一)項所</w:t>
      </w:r>
      <w:r w:rsidRPr="00DF3FF0">
        <w:rPr>
          <w:rFonts w:ascii="標楷體" w:eastAsia="標楷體" w:hAnsi="標楷體" w:cs="Times New Roman" w:hint="eastAsia"/>
          <w:b/>
          <w:color w:val="0000FF"/>
          <w:sz w:val="28"/>
          <w:szCs w:val="28"/>
        </w:rPr>
        <w:lastRenderedPageBreak/>
        <w:t>述之</w:t>
      </w:r>
      <w:r w:rsidRPr="00DF3FF0">
        <w:rPr>
          <w:rFonts w:ascii="標楷體" w:eastAsia="標楷體" w:hAnsi="標楷體" w:cs="Times New Roman"/>
          <w:b/>
          <w:color w:val="0000FF"/>
          <w:sz w:val="28"/>
          <w:szCs w:val="28"/>
        </w:rPr>
        <w:t>展示用</w:t>
      </w:r>
      <w:r w:rsidRPr="00DF3FF0">
        <w:rPr>
          <w:rFonts w:ascii="標楷體" w:eastAsia="標楷體" w:hAnsi="標楷體" w:cs="Times New Roman" w:hint="eastAsia"/>
          <w:b/>
          <w:color w:val="0000FF"/>
          <w:sz w:val="28"/>
          <w:szCs w:val="28"/>
        </w:rPr>
        <w:t>65吋以上LED</w:t>
      </w:r>
      <w:r w:rsidRPr="00DF3FF0">
        <w:rPr>
          <w:rFonts w:ascii="標楷體" w:eastAsia="標楷體" w:hAnsi="標楷體" w:cs="Times New Roman"/>
          <w:b/>
          <w:color w:val="0000FF"/>
          <w:sz w:val="28"/>
          <w:szCs w:val="28"/>
        </w:rPr>
        <w:t>液晶螢幕</w:t>
      </w:r>
      <w:r w:rsidRPr="00DF3FF0">
        <w:rPr>
          <w:rFonts w:ascii="標楷體" w:eastAsia="標楷體" w:hAnsi="標楷體" w:cs="Times New Roman" w:hint="eastAsia"/>
          <w:b/>
          <w:color w:val="0000FF"/>
          <w:sz w:val="28"/>
          <w:szCs w:val="28"/>
        </w:rPr>
        <w:t>太陽光電發電系統相關資訊公開及推廣</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14:paraId="73489E3E" w14:textId="77777777" w:rsidR="00DD275C" w:rsidRPr="00DF3FF0" w:rsidRDefault="00DD275C" w:rsidP="00C3568E">
      <w:pPr>
        <w:pStyle w:val="a4"/>
        <w:numPr>
          <w:ilvl w:val="3"/>
          <w:numId w:val="18"/>
        </w:numPr>
        <w:snapToGrid w:val="0"/>
        <w:spacing w:line="276" w:lineRule="auto"/>
        <w:ind w:leftChars="0"/>
        <w:jc w:val="both"/>
        <w:rPr>
          <w:rFonts w:ascii="標楷體" w:eastAsia="標楷體" w:hAnsi="標楷體" w:cs="Times New Roman"/>
          <w:b/>
          <w:color w:val="0000FF"/>
          <w:sz w:val="28"/>
          <w:szCs w:val="28"/>
        </w:rPr>
      </w:pPr>
      <w:r w:rsidRPr="00DF3FF0">
        <w:rPr>
          <w:rFonts w:ascii="標楷體" w:eastAsia="標楷體" w:hAnsi="標楷體"/>
          <w:b/>
          <w:color w:val="0000FF"/>
          <w:sz w:val="28"/>
          <w:szCs w:val="28"/>
        </w:rPr>
        <w:t>開挖路徑</w:t>
      </w:r>
      <w:r w:rsidRPr="00DF3FF0">
        <w:rPr>
          <w:rFonts w:ascii="標楷體" w:eastAsia="標楷體" w:hAnsi="標楷體" w:hint="eastAsia"/>
          <w:b/>
          <w:color w:val="0000FF"/>
          <w:sz w:val="28"/>
          <w:szCs w:val="28"/>
        </w:rPr>
        <w:t>需以長條形或方形</w:t>
      </w:r>
      <w:r w:rsidRPr="00DF3FF0">
        <w:rPr>
          <w:rFonts w:ascii="標楷體" w:eastAsia="標楷體" w:hAnsi="標楷體"/>
          <w:b/>
          <w:color w:val="0000FF"/>
          <w:sz w:val="28"/>
          <w:szCs w:val="28"/>
        </w:rPr>
        <w:t>開挖，開挖後鋪放管路後先回填20至</w:t>
      </w:r>
      <w:r w:rsidRPr="00DF3FF0">
        <w:rPr>
          <w:rFonts w:ascii="標楷體" w:eastAsia="標楷體" w:hAnsi="標楷體" w:hint="eastAsia"/>
          <w:b/>
          <w:color w:val="0000FF"/>
          <w:sz w:val="28"/>
          <w:szCs w:val="28"/>
        </w:rPr>
        <w:t>4</w:t>
      </w:r>
      <w:r w:rsidRPr="00DF3FF0">
        <w:rPr>
          <w:rFonts w:ascii="標楷體" w:eastAsia="標楷體" w:hAnsi="標楷體"/>
          <w:b/>
          <w:color w:val="0000FF"/>
          <w:sz w:val="28"/>
          <w:szCs w:val="28"/>
        </w:rPr>
        <w:t>0公分厚</w:t>
      </w:r>
      <w:r w:rsidRPr="00DF3FF0">
        <w:rPr>
          <w:rFonts w:ascii="標楷體" w:eastAsia="標楷體" w:hAnsi="標楷體" w:hint="eastAsia"/>
          <w:b/>
          <w:color w:val="0000FF"/>
          <w:sz w:val="28"/>
          <w:szCs w:val="28"/>
        </w:rPr>
        <w:t>(仍依實際現況調整)</w:t>
      </w:r>
      <w:r w:rsidRPr="00DF3FF0">
        <w:rPr>
          <w:rFonts w:ascii="標楷體" w:eastAsia="標楷體" w:hAnsi="標楷體"/>
          <w:b/>
          <w:color w:val="0000FF"/>
          <w:sz w:val="28"/>
          <w:szCs w:val="28"/>
        </w:rPr>
        <w:t>之土方，再放置警示帶</w:t>
      </w:r>
      <w:r w:rsidRPr="00DF3FF0">
        <w:rPr>
          <w:rFonts w:ascii="標楷體" w:eastAsia="標楷體" w:hAnsi="標楷體" w:hint="eastAsia"/>
          <w:b/>
          <w:color w:val="0000FF"/>
          <w:sz w:val="28"/>
          <w:szCs w:val="28"/>
        </w:rPr>
        <w:t>並檢具照片佐證(以每條開挖路徑為單位，檢附每條前、中、後段各一張照片)，其開挖與文書作業等相關</w:t>
      </w:r>
      <w:r w:rsidRPr="00DF3FF0">
        <w:rPr>
          <w:rFonts w:ascii="標楷體" w:eastAsia="標楷體" w:hAnsi="標楷體" w:cs="Times New Roman" w:hint="eastAsia"/>
          <w:b/>
          <w:color w:val="0000FF"/>
          <w:sz w:val="28"/>
          <w:szCs w:val="28"/>
        </w:rPr>
        <w:t>費用由乙方負擔。</w:t>
      </w:r>
    </w:p>
    <w:p w14:paraId="43EB9DC5" w14:textId="77777777" w:rsidR="00DD275C" w:rsidRPr="00DF3FF0" w:rsidRDefault="00DD275C" w:rsidP="00C3568E">
      <w:pPr>
        <w:pStyle w:val="a4"/>
        <w:numPr>
          <w:ilvl w:val="3"/>
          <w:numId w:val="18"/>
        </w:numPr>
        <w:snapToGrid w:val="0"/>
        <w:spacing w:line="276" w:lineRule="auto"/>
        <w:ind w:leftChars="0"/>
        <w:jc w:val="both"/>
        <w:rPr>
          <w:rFonts w:ascii="標楷體" w:eastAsia="標楷體" w:hAnsi="標楷體" w:cs="Times New Roman"/>
          <w:b/>
          <w:color w:val="0000FF"/>
          <w:sz w:val="28"/>
          <w:szCs w:val="28"/>
        </w:rPr>
      </w:pPr>
      <w:r w:rsidRPr="00DF3FF0">
        <w:rPr>
          <w:rFonts w:ascii="標楷體" w:eastAsia="標楷體" w:hAnsi="標楷體"/>
          <w:b/>
          <w:color w:val="0000FF"/>
          <w:sz w:val="28"/>
          <w:szCs w:val="28"/>
        </w:rPr>
        <w:t>續上，回填土方並鋪設AC後，以每隔約1</w:t>
      </w:r>
      <w:r w:rsidRPr="00DF3FF0">
        <w:rPr>
          <w:rFonts w:ascii="標楷體" w:eastAsia="標楷體" w:hAnsi="標楷體" w:hint="eastAsia"/>
          <w:b/>
          <w:color w:val="0000FF"/>
          <w:sz w:val="28"/>
          <w:szCs w:val="28"/>
        </w:rPr>
        <w:t>至1.5</w:t>
      </w:r>
      <w:r w:rsidRPr="00DF3FF0">
        <w:rPr>
          <w:rFonts w:ascii="標楷體" w:eastAsia="標楷體" w:hAnsi="標楷體"/>
          <w:b/>
          <w:color w:val="0000FF"/>
          <w:sz w:val="28"/>
          <w:szCs w:val="28"/>
        </w:rPr>
        <w:t>公尺以噴漆方式告知太陽光電電纜鋪設位置</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14:paraId="4110621D" w14:textId="77777777" w:rsidR="00DD275C" w:rsidRPr="00DF3FF0" w:rsidRDefault="00DD275C" w:rsidP="00C3568E">
      <w:pPr>
        <w:pStyle w:val="a4"/>
        <w:numPr>
          <w:ilvl w:val="3"/>
          <w:numId w:val="18"/>
        </w:numPr>
        <w:snapToGrid w:val="0"/>
        <w:spacing w:line="276" w:lineRule="auto"/>
        <w:ind w:leftChars="0"/>
        <w:jc w:val="both"/>
        <w:rPr>
          <w:rFonts w:ascii="標楷體" w:eastAsia="標楷體" w:hAnsi="標楷體" w:cs="Times New Roman"/>
          <w:b/>
          <w:color w:val="0000FF"/>
          <w:sz w:val="28"/>
          <w:szCs w:val="28"/>
        </w:rPr>
      </w:pPr>
      <w:r w:rsidRPr="00DF3FF0">
        <w:rPr>
          <w:rFonts w:ascii="標楷體" w:eastAsia="標楷體" w:hAnsi="標楷體" w:cs="Times New Roman" w:hint="eastAsia"/>
          <w:b/>
          <w:color w:val="0000FF"/>
          <w:sz w:val="28"/>
          <w:szCs w:val="28"/>
        </w:rPr>
        <w:t>依據同條第(十四)款規定外，</w:t>
      </w:r>
      <w:r w:rsidRPr="00DF3FF0">
        <w:rPr>
          <w:rFonts w:ascii="標楷體" w:eastAsia="標楷體" w:hAnsi="標楷體"/>
          <w:b/>
          <w:color w:val="0000FF"/>
          <w:sz w:val="28"/>
          <w:szCs w:val="28"/>
        </w:rPr>
        <w:t>所建置太陽光電之電力圖、鋪設路徑圖等相關圖說影印一份供校方備查</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14:paraId="2C90BA51" w14:textId="77777777" w:rsidR="00DD275C" w:rsidRPr="00DF3FF0" w:rsidRDefault="00DD275C" w:rsidP="00C3568E">
      <w:pPr>
        <w:pStyle w:val="a4"/>
        <w:numPr>
          <w:ilvl w:val="3"/>
          <w:numId w:val="18"/>
        </w:numPr>
        <w:snapToGrid w:val="0"/>
        <w:spacing w:line="276" w:lineRule="auto"/>
        <w:ind w:leftChars="0"/>
        <w:jc w:val="both"/>
        <w:rPr>
          <w:rFonts w:ascii="標楷體" w:eastAsia="標楷體" w:hAnsi="標楷體" w:cs="Times New Roman"/>
          <w:b/>
          <w:color w:val="0000FF"/>
          <w:sz w:val="28"/>
          <w:szCs w:val="28"/>
        </w:rPr>
      </w:pPr>
      <w:r w:rsidRPr="00DF3FF0">
        <w:rPr>
          <w:rFonts w:ascii="標楷體" w:eastAsia="標楷體" w:hAnsi="標楷體"/>
          <w:b/>
          <w:color w:val="0000FF"/>
          <w:sz w:val="28"/>
          <w:szCs w:val="28"/>
        </w:rPr>
        <w:t>向工務局辦理調閱使照圖說，其調閱之相關圖說影印一份供校方備查</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r w:rsidRPr="00DF3FF0">
        <w:rPr>
          <w:rFonts w:ascii="標楷體" w:eastAsia="標楷體" w:hAnsi="標楷體"/>
          <w:b/>
          <w:color w:val="0000FF"/>
          <w:sz w:val="28"/>
          <w:szCs w:val="28"/>
        </w:rPr>
        <w:t>。</w:t>
      </w:r>
    </w:p>
    <w:p w14:paraId="695A85F4" w14:textId="77777777" w:rsidR="00DD275C" w:rsidRDefault="00DD275C" w:rsidP="00C3568E">
      <w:pPr>
        <w:pStyle w:val="a4"/>
        <w:numPr>
          <w:ilvl w:val="3"/>
          <w:numId w:val="18"/>
        </w:numPr>
        <w:snapToGrid w:val="0"/>
        <w:spacing w:line="276" w:lineRule="auto"/>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架設屋頂太陽光電板及光電球場之結構體</w:t>
      </w:r>
      <w:r w:rsidRPr="00DF3FF0">
        <w:rPr>
          <w:rFonts w:ascii="標楷體" w:eastAsia="標楷體" w:hAnsi="標楷體"/>
          <w:b/>
          <w:color w:val="0000FF"/>
          <w:sz w:val="28"/>
          <w:szCs w:val="28"/>
        </w:rPr>
        <w:t>皆須有合法認證之技師簽證，其簽證相關文件需影印一份供校方備查</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14:paraId="1E3F7810" w14:textId="50D1C18C" w:rsidR="00A00F32" w:rsidRPr="00DD275C" w:rsidRDefault="00DD275C" w:rsidP="00C3568E">
      <w:pPr>
        <w:pStyle w:val="a4"/>
        <w:numPr>
          <w:ilvl w:val="3"/>
          <w:numId w:val="18"/>
        </w:numPr>
        <w:snapToGrid w:val="0"/>
        <w:spacing w:line="276" w:lineRule="auto"/>
        <w:ind w:leftChars="0"/>
        <w:jc w:val="both"/>
        <w:rPr>
          <w:rFonts w:ascii="標楷體" w:eastAsia="標楷體" w:hAnsi="標楷體" w:cs="Times New Roman"/>
          <w:b/>
          <w:color w:val="0000FF"/>
          <w:sz w:val="28"/>
          <w:szCs w:val="28"/>
        </w:rPr>
      </w:pPr>
      <w:r w:rsidRPr="00DD275C">
        <w:rPr>
          <w:rFonts w:eastAsia="標楷體"/>
          <w:b/>
          <w:color w:val="0000FF"/>
          <w:sz w:val="28"/>
          <w:szCs w:val="28"/>
        </w:rPr>
        <w:t>勞工安全衛生規定：乙方技術人員在甲方校區範圍內，從事太陽能設施設置、施工、維修保養或其他設備維護保養作業期間，必須遵守職業安全衛生法等相關規定，作好安全措施，倘若發生工安意外時，由乙方自負全責，與甲方無涉；如造成本校財物損失，應負全部賠償責任。</w:t>
      </w:r>
    </w:p>
    <w:p w14:paraId="03EDB99C" w14:textId="77777777"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主結構、發電系統（該系統為併聯型系統）設施、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14:paraId="51F64733" w14:textId="77777777"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70164BD6"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2268488E"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14:paraId="15B43426"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3D415100" w14:textId="77777777"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lastRenderedPageBreak/>
        <w:t>乙方搭建完成設備項目後，須提供清冊給甲方進行存查。</w:t>
      </w:r>
    </w:p>
    <w:p w14:paraId="0DCD3383" w14:textId="77777777"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143DD925" w14:textId="77777777"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23C02EE5" w14:textId="77777777"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1ED3C17D" w14:textId="77777777"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14:paraId="3CB29806" w14:textId="77777777"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、副本三份，除正、副本各一份交乙方執用，餘由甲方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14:paraId="2A7F0030" w14:textId="77777777"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6536FB64"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09570FE3" w14:textId="77777777"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14:paraId="6C0921CC"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35628100" w14:textId="77777777"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14:paraId="1EFBBA70" w14:textId="77777777"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3A2C2192" w14:textId="77777777"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p>
    <w:p w14:paraId="4A10B16F"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D73CF87" w14:textId="77777777"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p>
    <w:p w14:paraId="5EED76EF"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6F8A9A1" w14:textId="77777777"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p>
    <w:p w14:paraId="1C907A87"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DB95C3D"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p>
    <w:p w14:paraId="7B149022"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EEA71D8"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631E514B" w14:textId="77777777"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1D21A4AE"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EB77969"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4FB96E96"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7D4483C"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45E3F42C"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51B15AC"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0B1B5196"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215A2C3"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311E052"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FD75638"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63139788"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01A9308D"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CD486F" w14:textId="77777777" w:rsidR="008E3658" w:rsidRDefault="008E3658" w:rsidP="004B7D62">
      <w:r>
        <w:separator/>
      </w:r>
    </w:p>
  </w:endnote>
  <w:endnote w:type="continuationSeparator" w:id="0">
    <w:p w14:paraId="205375CA" w14:textId="77777777" w:rsidR="008E3658" w:rsidRDefault="008E3658"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FB6F6" w14:textId="77777777"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9C4F6D" w:rsidRPr="009C4F6D">
      <w:rPr>
        <w:noProof/>
        <w:sz w:val="22"/>
        <w:lang w:val="zh-TW"/>
      </w:rPr>
      <w:t>6</w:t>
    </w:r>
    <w:r w:rsidRPr="001510B4">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DA321" w14:textId="77777777" w:rsidR="008E3658" w:rsidRDefault="008E3658" w:rsidP="004B7D62">
      <w:r>
        <w:separator/>
      </w:r>
    </w:p>
  </w:footnote>
  <w:footnote w:type="continuationSeparator" w:id="0">
    <w:p w14:paraId="2670A48D" w14:textId="77777777" w:rsidR="008E3658" w:rsidRDefault="008E3658"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20C9"/>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6013E"/>
    <w:rsid w:val="002641A4"/>
    <w:rsid w:val="00281D1A"/>
    <w:rsid w:val="00286703"/>
    <w:rsid w:val="0028715F"/>
    <w:rsid w:val="00290A68"/>
    <w:rsid w:val="0029177E"/>
    <w:rsid w:val="002948F6"/>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1C10"/>
    <w:rsid w:val="003321AB"/>
    <w:rsid w:val="003336FE"/>
    <w:rsid w:val="00333E4E"/>
    <w:rsid w:val="00342FE8"/>
    <w:rsid w:val="00347289"/>
    <w:rsid w:val="00350D8E"/>
    <w:rsid w:val="00351F9C"/>
    <w:rsid w:val="00352841"/>
    <w:rsid w:val="0035286D"/>
    <w:rsid w:val="003540A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E3658"/>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C4F6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256B2"/>
    <w:rsid w:val="00A31970"/>
    <w:rsid w:val="00A3518E"/>
    <w:rsid w:val="00A42BB2"/>
    <w:rsid w:val="00A474C0"/>
    <w:rsid w:val="00A5165C"/>
    <w:rsid w:val="00A53A07"/>
    <w:rsid w:val="00A576B3"/>
    <w:rsid w:val="00A6619F"/>
    <w:rsid w:val="00A70014"/>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568E"/>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3F1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275C"/>
    <w:rsid w:val="00DD4971"/>
    <w:rsid w:val="00DE5692"/>
    <w:rsid w:val="00DE5F58"/>
    <w:rsid w:val="00DF2F84"/>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D88"/>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525C0"/>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6D006-477B-46B8-BEA8-70E7EC6A0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16</Pages>
  <Words>1801</Words>
  <Characters>10270</Characters>
  <Application>Microsoft Office Word</Application>
  <DocSecurity>0</DocSecurity>
  <Lines>85</Lines>
  <Paragraphs>24</Paragraphs>
  <ScaleCrop>false</ScaleCrop>
  <Company/>
  <LinksUpToDate>false</LinksUpToDate>
  <CharactersWithSpaces>12047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Windows 使用者</cp:lastModifiedBy>
  <cp:revision>75</cp:revision>
  <cp:lastPrinted>2019-05-10T01:07:00Z</cp:lastPrinted>
  <dcterms:created xsi:type="dcterms:W3CDTF">2019-04-19T07:00:00Z</dcterms:created>
  <dcterms:modified xsi:type="dcterms:W3CDTF">2021-07-20T02:24:00Z</dcterms:modified>
</cp:coreProperties>
</file>